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907A4" w:rsidRDefault="008907A4"/>
    <w:p w:rsidR="008907A4" w:rsidRPr="008907A4" w:rsidRDefault="008907A4" w:rsidP="008907A4">
      <w:pPr>
        <w:jc w:val="center"/>
        <w:rPr>
          <w:rFonts w:eastAsia="Times New Roman" w:cstheme="minorHAnsi"/>
          <w:b/>
          <w:bCs/>
          <w:color w:val="000000"/>
          <w:kern w:val="0"/>
          <w:sz w:val="22"/>
          <w:szCs w:val="22"/>
          <w:lang w:val="es-ES_tradnl"/>
          <w14:ligatures w14:val="none"/>
        </w:rPr>
      </w:pPr>
      <w:r w:rsidRPr="008907A4">
        <w:rPr>
          <w:rFonts w:cstheme="minorHAnsi"/>
          <w:b/>
          <w:bCs/>
          <w:sz w:val="22"/>
          <w:szCs w:val="22"/>
          <w:lang w:val="es-ES_tradnl"/>
        </w:rPr>
        <w:t xml:space="preserve">Los </w:t>
      </w:r>
      <w:r w:rsidRPr="008907A4">
        <w:rPr>
          <w:rFonts w:eastAsia="Times New Roman" w:cstheme="minorHAnsi"/>
          <w:b/>
          <w:bCs/>
          <w:color w:val="000000"/>
          <w:kern w:val="0"/>
          <w:sz w:val="22"/>
          <w:szCs w:val="22"/>
          <w:lang w:val="es-ES_tradnl"/>
          <w14:ligatures w14:val="none"/>
        </w:rPr>
        <w:t>p</w:t>
      </w:r>
      <w:r w:rsidRPr="008907A4">
        <w:rPr>
          <w:rFonts w:eastAsia="Times New Roman" w:cstheme="minorHAnsi"/>
          <w:b/>
          <w:bCs/>
          <w:color w:val="000000"/>
          <w:kern w:val="0"/>
          <w:sz w:val="22"/>
          <w:szCs w:val="22"/>
          <w14:ligatures w14:val="none"/>
        </w:rPr>
        <w:t>ronósticos globales oficiales</w:t>
      </w:r>
      <w:r w:rsidRPr="008907A4">
        <w:rPr>
          <w:rFonts w:eastAsia="Times New Roman" w:cstheme="minorHAnsi"/>
          <w:b/>
          <w:bCs/>
          <w:color w:val="000000"/>
          <w:kern w:val="0"/>
          <w:sz w:val="22"/>
          <w:szCs w:val="22"/>
          <w:lang w:val="es-ES_tradnl"/>
          <w14:ligatures w14:val="none"/>
        </w:rPr>
        <w:t xml:space="preserve"> del fenómeno El Niño</w:t>
      </w:r>
    </w:p>
    <w:p w:rsidR="008907A4" w:rsidRPr="008907A4" w:rsidRDefault="008907A4" w:rsidP="008907A4">
      <w:pPr>
        <w:rPr>
          <w:rFonts w:eastAsia="Times New Roman" w:cstheme="minorHAnsi"/>
          <w:b/>
          <w:bCs/>
          <w:color w:val="000000"/>
          <w:kern w:val="0"/>
          <w:sz w:val="22"/>
          <w:szCs w:val="22"/>
          <w:lang w:val="es-ES_tradnl"/>
          <w14:ligatures w14:val="none"/>
        </w:rPr>
      </w:pPr>
    </w:p>
    <w:p w:rsidR="008907A4" w:rsidRDefault="008907A4" w:rsidP="008907A4">
      <w:pPr>
        <w:rPr>
          <w:rFonts w:eastAsia="Times New Roman" w:cstheme="minorHAnsi"/>
          <w:kern w:val="0"/>
          <w:sz w:val="22"/>
          <w:szCs w:val="22"/>
          <w14:ligatures w14:val="none"/>
        </w:rPr>
      </w:pPr>
      <w:hyperlink r:id="rId5" w:tgtFrame="_new" w:history="1">
        <w:r w:rsidRPr="008907A4">
          <w:rPr>
            <w:rFonts w:eastAsia="Times New Roman" w:cstheme="minorHAnsi"/>
            <w:color w:val="C00000"/>
            <w:kern w:val="0"/>
            <w:sz w:val="22"/>
            <w:szCs w:val="22"/>
            <w:u w:val="single"/>
            <w14:ligatures w14:val="none"/>
          </w:rPr>
          <w:t>NOAA Climate Prediction Center (ENSO Diagnostic Discussion)</w:t>
        </w:r>
      </w:hyperlink>
      <w:r w:rsidRPr="008907A4">
        <w:rPr>
          <w:rFonts w:eastAsia="Times New Roman" w:cstheme="minorHAnsi"/>
          <w:kern w:val="0"/>
          <w:sz w:val="22"/>
          <w:szCs w:val="22"/>
          <w14:ligatures w14:val="none"/>
        </w:rPr>
        <w:br/>
        <w:t>La NOAA señala que actualmente existen condiciones neutrales en el Pacífico, pero observa señales crecientes de calentamiento oceánico y cambios en los vientos que favorecen la formación de El Niño durante la segunda mitad de 2026. Sus modelos consideran posible un evento moderado a fuerte hacia finales de año.</w:t>
      </w:r>
    </w:p>
    <w:p w:rsidR="008907A4" w:rsidRPr="008907A4" w:rsidRDefault="008907A4" w:rsidP="008907A4">
      <w:pPr>
        <w:rPr>
          <w:rFonts w:eastAsia="Times New Roman" w:cstheme="minorHAnsi"/>
          <w:kern w:val="0"/>
          <w:sz w:val="22"/>
          <w:szCs w:val="22"/>
          <w14:ligatures w14:val="none"/>
        </w:rPr>
      </w:pPr>
    </w:p>
    <w:p w:rsidR="008907A4" w:rsidRDefault="008907A4" w:rsidP="008907A4">
      <w:pPr>
        <w:rPr>
          <w:rFonts w:eastAsia="Times New Roman" w:cstheme="minorHAnsi"/>
          <w:kern w:val="0"/>
          <w:sz w:val="22"/>
          <w:szCs w:val="22"/>
          <w14:ligatures w14:val="none"/>
        </w:rPr>
      </w:pPr>
      <w:hyperlink r:id="rId6" w:tgtFrame="_new" w:history="1">
        <w:r w:rsidRPr="008907A4">
          <w:rPr>
            <w:rFonts w:eastAsia="Times New Roman" w:cstheme="minorHAnsi"/>
            <w:color w:val="C00000"/>
            <w:kern w:val="0"/>
            <w:sz w:val="22"/>
            <w:szCs w:val="22"/>
            <w:u w:val="single"/>
            <w14:ligatures w14:val="none"/>
          </w:rPr>
          <w:t>IRI Columbia University ENSO Forecast</w:t>
        </w:r>
      </w:hyperlink>
      <w:r w:rsidRPr="008907A4">
        <w:rPr>
          <w:rFonts w:eastAsia="Times New Roman" w:cstheme="minorHAnsi"/>
          <w:kern w:val="0"/>
          <w:sz w:val="22"/>
          <w:szCs w:val="22"/>
          <w14:ligatures w14:val="none"/>
        </w:rPr>
        <w:br/>
        <w:t>El IRI de la Universidad de Columbia muestra una alta probabilidad de transición hacia El Niño en los próximos meses. El consenso multimodelo internacional estima que el fenómeno podría consolidarse y persistir durante gran parte de finales de 2026.</w:t>
      </w:r>
    </w:p>
    <w:p w:rsidR="008907A4" w:rsidRPr="008907A4" w:rsidRDefault="008907A4" w:rsidP="008907A4">
      <w:pPr>
        <w:rPr>
          <w:rFonts w:eastAsia="Times New Roman" w:cstheme="minorHAnsi"/>
          <w:kern w:val="0"/>
          <w:sz w:val="22"/>
          <w:szCs w:val="22"/>
          <w14:ligatures w14:val="none"/>
        </w:rPr>
      </w:pPr>
    </w:p>
    <w:p w:rsidR="008907A4" w:rsidRDefault="008907A4" w:rsidP="008907A4">
      <w:pPr>
        <w:rPr>
          <w:rFonts w:eastAsia="Times New Roman" w:cstheme="minorHAnsi"/>
          <w:kern w:val="0"/>
          <w:sz w:val="22"/>
          <w:szCs w:val="22"/>
          <w14:ligatures w14:val="none"/>
        </w:rPr>
      </w:pPr>
      <w:hyperlink r:id="rId7" w:tgtFrame="_new" w:history="1">
        <w:r w:rsidRPr="008907A4">
          <w:rPr>
            <w:rFonts w:eastAsia="Times New Roman" w:cstheme="minorHAnsi"/>
            <w:color w:val="C00000"/>
            <w:kern w:val="0"/>
            <w:sz w:val="22"/>
            <w:szCs w:val="22"/>
            <w:u w:val="single"/>
            <w14:ligatures w14:val="none"/>
          </w:rPr>
          <w:t>ECMWF Seasonal Forecast – Niño Plumes</w:t>
        </w:r>
      </w:hyperlink>
      <w:r w:rsidRPr="008907A4">
        <w:rPr>
          <w:rFonts w:eastAsia="Times New Roman" w:cstheme="minorHAnsi"/>
          <w:kern w:val="0"/>
          <w:sz w:val="22"/>
          <w:szCs w:val="22"/>
          <w14:ligatures w14:val="none"/>
        </w:rPr>
        <w:br/>
        <w:t>El modelo europeo ECMWF proyecta un aumento sostenido de las temperaturas del Pacífico ecuatorial durante 2026. Sus escenarios muestran un fortalecimiento gradual de El Niño, con posibles impactos importantes sobre lluvias, sequías y energía hidroeléctrica.</w:t>
      </w:r>
    </w:p>
    <w:p w:rsidR="008907A4" w:rsidRPr="008907A4" w:rsidRDefault="008907A4" w:rsidP="008907A4">
      <w:pPr>
        <w:rPr>
          <w:rFonts w:eastAsia="Times New Roman" w:cstheme="minorHAnsi"/>
          <w:kern w:val="0"/>
          <w:sz w:val="22"/>
          <w:szCs w:val="22"/>
          <w14:ligatures w14:val="none"/>
        </w:rPr>
      </w:pPr>
    </w:p>
    <w:p w:rsidR="008907A4" w:rsidRDefault="008907A4" w:rsidP="008907A4">
      <w:pPr>
        <w:rPr>
          <w:rFonts w:eastAsia="Times New Roman" w:cstheme="minorHAnsi"/>
          <w:kern w:val="0"/>
          <w:sz w:val="22"/>
          <w:szCs w:val="22"/>
          <w14:ligatures w14:val="none"/>
        </w:rPr>
      </w:pPr>
      <w:hyperlink r:id="rId8" w:tgtFrame="_new" w:history="1">
        <w:r w:rsidRPr="008907A4">
          <w:rPr>
            <w:rFonts w:eastAsia="Times New Roman" w:cstheme="minorHAnsi"/>
            <w:color w:val="C00000"/>
            <w:kern w:val="0"/>
            <w:sz w:val="22"/>
            <w:szCs w:val="22"/>
            <w:u w:val="single"/>
            <w14:ligatures w14:val="none"/>
          </w:rPr>
          <w:t>Organización Meteorológica Mundial (OMM/WMO) – ENSO</w:t>
        </w:r>
      </w:hyperlink>
      <w:r w:rsidRPr="008907A4">
        <w:rPr>
          <w:rFonts w:eastAsia="Times New Roman" w:cstheme="minorHAnsi"/>
          <w:kern w:val="0"/>
          <w:sz w:val="22"/>
          <w:szCs w:val="22"/>
          <w14:ligatures w14:val="none"/>
        </w:rPr>
        <w:br/>
        <w:t>La OMM advierte que un nuevo evento El Niño podría alterar significativamente los patrones climáticos globales, aumentando riesgos de sequías, inundaciones y olas de calor en diferentes regiones. Destaca la necesidad de preparación temprana por parte de gobiernos y sectores productivos.</w:t>
      </w:r>
    </w:p>
    <w:p w:rsidR="008907A4" w:rsidRPr="008907A4" w:rsidRDefault="008907A4" w:rsidP="008907A4">
      <w:pPr>
        <w:rPr>
          <w:rFonts w:eastAsia="Times New Roman" w:cstheme="minorHAnsi"/>
          <w:kern w:val="0"/>
          <w:sz w:val="22"/>
          <w:szCs w:val="22"/>
          <w14:ligatures w14:val="none"/>
        </w:rPr>
      </w:pPr>
    </w:p>
    <w:p w:rsidR="008907A4" w:rsidRDefault="008907A4" w:rsidP="008907A4">
      <w:pPr>
        <w:rPr>
          <w:rFonts w:eastAsia="Times New Roman" w:cstheme="minorHAnsi"/>
          <w:kern w:val="0"/>
          <w:sz w:val="22"/>
          <w:szCs w:val="22"/>
          <w14:ligatures w14:val="none"/>
        </w:rPr>
      </w:pPr>
      <w:r w:rsidRPr="008907A4">
        <w:rPr>
          <w:rFonts w:eastAsia="Times New Roman" w:cstheme="minorHAnsi"/>
          <w:color w:val="C00000"/>
          <w:kern w:val="0"/>
          <w:sz w:val="22"/>
          <w:szCs w:val="22"/>
          <w:u w:val="single"/>
          <w14:ligatures w14:val="none"/>
        </w:rPr>
        <w:t>FAO Climate Services Portal</w:t>
      </w:r>
      <w:r w:rsidRPr="008907A4">
        <w:rPr>
          <w:rFonts w:eastAsia="Times New Roman" w:cstheme="minorHAnsi"/>
          <w:kern w:val="0"/>
          <w:sz w:val="22"/>
          <w:szCs w:val="22"/>
          <w14:ligatures w14:val="none"/>
        </w:rPr>
        <w:br/>
        <w:t>La FAO analiza cómo un posible El Niño podría afectar agricultura y seguridad alimentaria mediante sequías, cambios en las lluvias y pérdidas de cultivos. Advierte especial vulnerabilidad en regiones dependientes de la agricultura de temporal y de pequeños productores.</w:t>
      </w:r>
    </w:p>
    <w:p w:rsidR="008907A4" w:rsidRPr="008907A4" w:rsidRDefault="008907A4" w:rsidP="008907A4">
      <w:pPr>
        <w:rPr>
          <w:rFonts w:eastAsia="Times New Roman" w:cstheme="minorHAnsi"/>
          <w:kern w:val="0"/>
          <w:sz w:val="22"/>
          <w:szCs w:val="22"/>
          <w14:ligatures w14:val="none"/>
        </w:rPr>
      </w:pPr>
    </w:p>
    <w:p w:rsidR="008907A4" w:rsidRDefault="008907A4" w:rsidP="008907A4">
      <w:pPr>
        <w:rPr>
          <w:rFonts w:eastAsia="Times New Roman" w:cstheme="minorHAnsi"/>
          <w:kern w:val="0"/>
          <w:sz w:val="22"/>
          <w:szCs w:val="22"/>
          <w14:ligatures w14:val="none"/>
        </w:rPr>
      </w:pPr>
      <w:hyperlink r:id="rId9" w:tgtFrame="_new" w:history="1">
        <w:r w:rsidRPr="008907A4">
          <w:rPr>
            <w:rFonts w:eastAsia="Times New Roman" w:cstheme="minorHAnsi"/>
            <w:color w:val="C00000"/>
            <w:kern w:val="0"/>
            <w:sz w:val="22"/>
            <w:szCs w:val="22"/>
            <w:u w:val="single"/>
            <w14:ligatures w14:val="none"/>
          </w:rPr>
          <w:t>Copernicus Climate Change Service</w:t>
        </w:r>
      </w:hyperlink>
      <w:r w:rsidRPr="008907A4">
        <w:rPr>
          <w:rFonts w:eastAsia="Times New Roman" w:cstheme="minorHAnsi"/>
          <w:kern w:val="0"/>
          <w:sz w:val="22"/>
          <w:szCs w:val="22"/>
          <w14:ligatures w14:val="none"/>
        </w:rPr>
        <w:br/>
        <w:t>Copernicus destaca que un evento El Niño podría aumentar el estrés hídrico y afectar la generación hidroeléctrica en varias regiones del mundo. También prevé impactos sobre demanda energética, incendios forestales y temperaturas extremas.</w:t>
      </w:r>
    </w:p>
    <w:p w:rsidR="008907A4" w:rsidRPr="008907A4" w:rsidRDefault="008907A4" w:rsidP="008907A4">
      <w:pPr>
        <w:rPr>
          <w:rFonts w:eastAsia="Times New Roman" w:cstheme="minorHAnsi"/>
          <w:kern w:val="0"/>
          <w:sz w:val="22"/>
          <w:szCs w:val="22"/>
          <w14:ligatures w14:val="none"/>
        </w:rPr>
      </w:pPr>
    </w:p>
    <w:p w:rsidR="008907A4" w:rsidRDefault="008907A4" w:rsidP="008907A4">
      <w:pPr>
        <w:rPr>
          <w:rFonts w:eastAsia="Times New Roman" w:cstheme="minorHAnsi"/>
          <w:kern w:val="0"/>
          <w:sz w:val="22"/>
          <w:szCs w:val="22"/>
          <w14:ligatures w14:val="none"/>
        </w:rPr>
      </w:pPr>
      <w:r w:rsidRPr="008907A4">
        <w:rPr>
          <w:rFonts w:eastAsia="Times New Roman" w:cstheme="minorHAnsi"/>
          <w:color w:val="C00000"/>
          <w:kern w:val="0"/>
          <w:sz w:val="22"/>
          <w:szCs w:val="22"/>
          <w:u w:val="single"/>
          <w14:ligatures w14:val="none"/>
        </w:rPr>
        <w:t>NOAA ENSO and Fisheries</w:t>
      </w:r>
      <w:r w:rsidRPr="008907A4">
        <w:rPr>
          <w:rFonts w:eastAsia="Times New Roman" w:cstheme="minorHAnsi"/>
          <w:kern w:val="0"/>
          <w:sz w:val="22"/>
          <w:szCs w:val="22"/>
          <w14:ligatures w14:val="none"/>
        </w:rPr>
        <w:br/>
        <w:t>NOAA advierte que El Niño puede alterar corrientes marinas, disponibilidad de nutrientes y distribución de especies pesqueras. Esto podría afectar pesca comercial, acuicultura y ecosistemas marinos en el Pacífico y otras regiones oceánicas.</w:t>
      </w:r>
    </w:p>
    <w:p w:rsidR="008907A4" w:rsidRPr="008907A4" w:rsidRDefault="008907A4" w:rsidP="008907A4">
      <w:pPr>
        <w:rPr>
          <w:rFonts w:eastAsia="Times New Roman" w:cstheme="minorHAnsi"/>
          <w:kern w:val="0"/>
          <w:sz w:val="22"/>
          <w:szCs w:val="22"/>
          <w14:ligatures w14:val="none"/>
        </w:rPr>
      </w:pPr>
    </w:p>
    <w:p w:rsidR="008907A4" w:rsidRPr="008907A4" w:rsidRDefault="008907A4" w:rsidP="008907A4">
      <w:pPr>
        <w:rPr>
          <w:rFonts w:cstheme="minorHAnsi"/>
          <w:sz w:val="22"/>
          <w:szCs w:val="22"/>
        </w:rPr>
      </w:pPr>
      <w:hyperlink r:id="rId10" w:tgtFrame="_new" w:history="1">
        <w:r w:rsidRPr="008907A4">
          <w:rPr>
            <w:rFonts w:eastAsia="Times New Roman" w:cstheme="minorHAnsi"/>
            <w:color w:val="C00000"/>
            <w:kern w:val="0"/>
            <w:sz w:val="22"/>
            <w:szCs w:val="22"/>
            <w:u w:val="single"/>
            <w14:ligatures w14:val="none"/>
          </w:rPr>
          <w:t>GDACS – Global Disaster Alert and Coordination System</w:t>
        </w:r>
      </w:hyperlink>
      <w:r w:rsidRPr="008907A4">
        <w:rPr>
          <w:rFonts w:eastAsia="Times New Roman" w:cstheme="minorHAnsi"/>
          <w:kern w:val="0"/>
          <w:sz w:val="22"/>
          <w:szCs w:val="22"/>
          <w14:ligatures w14:val="none"/>
        </w:rPr>
        <w:br/>
        <w:t>GDACS monitorea el aumento potencial de riesgos asociados a El Niño, como inundaciones, ciclones, sequías e incendios forestales. Sus análisis muestran que un evento fuerte podría incrementar la frecuencia y severidad de emergencias climáticas a escala mundial.</w:t>
      </w:r>
    </w:p>
    <w:sectPr w:rsidR="008907A4" w:rsidRPr="008907A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10E6D"/>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F01BA9"/>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EE51D6"/>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510C2A"/>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DC5867"/>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CE537E"/>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D575E9"/>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D1193D"/>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C06761"/>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EB2A32"/>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5D5BA8"/>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1D56F6"/>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7E18A9"/>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863A8C"/>
    <w:multiLevelType w:val="multilevel"/>
    <w:tmpl w:val="086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3423116">
    <w:abstractNumId w:val="3"/>
  </w:num>
  <w:num w:numId="2" w16cid:durableId="1664770576">
    <w:abstractNumId w:val="11"/>
  </w:num>
  <w:num w:numId="3" w16cid:durableId="20595959">
    <w:abstractNumId w:val="7"/>
  </w:num>
  <w:num w:numId="4" w16cid:durableId="1465390506">
    <w:abstractNumId w:val="1"/>
  </w:num>
  <w:num w:numId="5" w16cid:durableId="1238630756">
    <w:abstractNumId w:val="5"/>
  </w:num>
  <w:num w:numId="6" w16cid:durableId="1208640277">
    <w:abstractNumId w:val="2"/>
  </w:num>
  <w:num w:numId="7" w16cid:durableId="1196190697">
    <w:abstractNumId w:val="8"/>
  </w:num>
  <w:num w:numId="8" w16cid:durableId="949094313">
    <w:abstractNumId w:val="4"/>
  </w:num>
  <w:num w:numId="9" w16cid:durableId="1536889225">
    <w:abstractNumId w:val="13"/>
  </w:num>
  <w:num w:numId="10" w16cid:durableId="952055119">
    <w:abstractNumId w:val="12"/>
  </w:num>
  <w:num w:numId="11" w16cid:durableId="2067870725">
    <w:abstractNumId w:val="9"/>
  </w:num>
  <w:num w:numId="12" w16cid:durableId="2102792169">
    <w:abstractNumId w:val="10"/>
  </w:num>
  <w:num w:numId="13" w16cid:durableId="322592062">
    <w:abstractNumId w:val="0"/>
  </w:num>
  <w:num w:numId="14" w16cid:durableId="9017213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7A4"/>
    <w:rsid w:val="008907A4"/>
  </w:rsids>
  <m:mathPr>
    <m:mathFont m:val="Cambria Math"/>
    <m:brkBin m:val="before"/>
    <m:brkBinSub m:val="--"/>
    <m:smallFrac m:val="0"/>
    <m:dispDef/>
    <m:lMargin m:val="0"/>
    <m:rMargin m:val="0"/>
    <m:defJc m:val="centerGroup"/>
    <m:wrapIndent m:val="1440"/>
    <m:intLim m:val="subSup"/>
    <m:naryLim m:val="undOvr"/>
  </m:mathPr>
  <w:themeFontLang w:val="en-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A1466"/>
  <w15:chartTrackingRefBased/>
  <w15:docId w15:val="{2A5C3E6E-B3DA-724D-B5BA-43A40A4F0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907A4"/>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8907A4"/>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paragraph" w:styleId="Heading4">
    <w:name w:val="heading 4"/>
    <w:basedOn w:val="Normal"/>
    <w:link w:val="Heading4Char"/>
    <w:uiPriority w:val="9"/>
    <w:qFormat/>
    <w:rsid w:val="008907A4"/>
    <w:pPr>
      <w:spacing w:before="100" w:beforeAutospacing="1" w:after="100" w:afterAutospacing="1"/>
      <w:outlineLvl w:val="3"/>
    </w:pPr>
    <w:rPr>
      <w:rFonts w:ascii="Times New Roman" w:eastAsia="Times New Roman" w:hAnsi="Times New Roman" w:cs="Times New Roman"/>
      <w:b/>
      <w:bCs/>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07A4"/>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8907A4"/>
    <w:rPr>
      <w:rFonts w:ascii="Times New Roman" w:eastAsia="Times New Roman" w:hAnsi="Times New Roman" w:cs="Times New Roman"/>
      <w:b/>
      <w:bCs/>
      <w:kern w:val="0"/>
      <w:sz w:val="27"/>
      <w:szCs w:val="27"/>
      <w14:ligatures w14:val="none"/>
    </w:rPr>
  </w:style>
  <w:style w:type="character" w:customStyle="1" w:styleId="Heading4Char">
    <w:name w:val="Heading 4 Char"/>
    <w:basedOn w:val="DefaultParagraphFont"/>
    <w:link w:val="Heading4"/>
    <w:uiPriority w:val="9"/>
    <w:rsid w:val="008907A4"/>
    <w:rPr>
      <w:rFonts w:ascii="Times New Roman" w:eastAsia="Times New Roman" w:hAnsi="Times New Roman" w:cs="Times New Roman"/>
      <w:b/>
      <w:bCs/>
      <w:kern w:val="0"/>
      <w14:ligatures w14:val="none"/>
    </w:rPr>
  </w:style>
  <w:style w:type="character" w:styleId="Hyperlink">
    <w:name w:val="Hyperlink"/>
    <w:basedOn w:val="DefaultParagraphFont"/>
    <w:uiPriority w:val="99"/>
    <w:semiHidden/>
    <w:unhideWhenUsed/>
    <w:rsid w:val="008907A4"/>
    <w:rPr>
      <w:color w:val="0000FF"/>
      <w:u w:val="single"/>
    </w:rPr>
  </w:style>
  <w:style w:type="paragraph" w:styleId="NormalWeb">
    <w:name w:val="Normal (Web)"/>
    <w:basedOn w:val="Normal"/>
    <w:uiPriority w:val="99"/>
    <w:semiHidden/>
    <w:unhideWhenUsed/>
    <w:rsid w:val="008907A4"/>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8907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049186">
      <w:bodyDiv w:val="1"/>
      <w:marLeft w:val="0"/>
      <w:marRight w:val="0"/>
      <w:marTop w:val="0"/>
      <w:marBottom w:val="0"/>
      <w:divBdr>
        <w:top w:val="none" w:sz="0" w:space="0" w:color="auto"/>
        <w:left w:val="none" w:sz="0" w:space="0" w:color="auto"/>
        <w:bottom w:val="none" w:sz="0" w:space="0" w:color="auto"/>
        <w:right w:val="none" w:sz="0" w:space="0" w:color="auto"/>
      </w:divBdr>
    </w:div>
    <w:div w:id="195232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mo.int/es/topics/el-nino-la-nina?utm_source=chatgpt.com" TargetMode="External"/><Relationship Id="rId3" Type="http://schemas.openxmlformats.org/officeDocument/2006/relationships/settings" Target="settings.xml"/><Relationship Id="rId7" Type="http://schemas.openxmlformats.org/officeDocument/2006/relationships/hyperlink" Target="https://charts.ecmwf.int/products/seasonal_system5_nino_plumes?utm_source=chatgpt.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ri.columbia.edu/our-expertise/climate/forecasts/enso/current/?utm_source=chatgpt.com" TargetMode="External"/><Relationship Id="rId11" Type="http://schemas.openxmlformats.org/officeDocument/2006/relationships/fontTable" Target="fontTable.xml"/><Relationship Id="rId5" Type="http://schemas.openxmlformats.org/officeDocument/2006/relationships/hyperlink" Target="https://www.cpc.ncep.noaa.gov/products/analysis_monitoring/enso_advisory/ensodisc_Sp.shtml?utm_source=chatgpt.com" TargetMode="External"/><Relationship Id="rId10" Type="http://schemas.openxmlformats.org/officeDocument/2006/relationships/hyperlink" Target="https://www.gdacs.org/?utm_source=chatgpt.com" TargetMode="External"/><Relationship Id="rId4" Type="http://schemas.openxmlformats.org/officeDocument/2006/relationships/webSettings" Target="webSettings.xml"/><Relationship Id="rId9" Type="http://schemas.openxmlformats.org/officeDocument/2006/relationships/hyperlink" Target="https://climate.copernicus.eu/?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466</Words>
  <Characters>2657</Characters>
  <Application>Microsoft Office Word</Application>
  <DocSecurity>0</DocSecurity>
  <Lines>22</Lines>
  <Paragraphs>6</Paragraphs>
  <ScaleCrop>false</ScaleCrop>
  <Company/>
  <LinksUpToDate>false</LinksUpToDate>
  <CharactersWithSpaces>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2026-05-07T20:56:00Z</dcterms:created>
  <dcterms:modified xsi:type="dcterms:W3CDTF">2026-05-07T21:06:00Z</dcterms:modified>
</cp:coreProperties>
</file>